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E4A" w14:textId="6A869A86" w:rsidR="00D062B5" w:rsidRPr="00C35957" w:rsidRDefault="00AE0506" w:rsidP="00C36112">
      <w:pPr>
        <w:pStyle w:val="font8"/>
        <w:spacing w:before="0" w:beforeAutospacing="0" w:after="0" w:afterAutospacing="0" w:line="288" w:lineRule="atLeast"/>
        <w:rPr>
          <w:b/>
          <w:bCs/>
          <w:i/>
          <w:iCs/>
          <w:color w:val="000000" w:themeColor="text1"/>
        </w:rPr>
      </w:pPr>
      <w:r w:rsidRPr="00C35957">
        <w:rPr>
          <w:b/>
          <w:bCs/>
          <w:color w:val="000000" w:themeColor="text1"/>
        </w:rPr>
        <w:t>A c</w:t>
      </w:r>
      <w:r w:rsidR="00165F4D" w:rsidRPr="00C35957">
        <w:rPr>
          <w:b/>
          <w:bCs/>
          <w:color w:val="000000" w:themeColor="text1"/>
        </w:rPr>
        <w:t xml:space="preserve">ytotoxic acylphloroglucinol from the leaves of </w:t>
      </w:r>
      <w:r w:rsidR="006D2A16" w:rsidRPr="00C35957">
        <w:rPr>
          <w:b/>
          <w:bCs/>
          <w:i/>
          <w:iCs/>
          <w:color w:val="000000" w:themeColor="text1"/>
        </w:rPr>
        <w:t xml:space="preserve">Triadenum </w:t>
      </w:r>
      <w:r w:rsidR="00BB1216" w:rsidRPr="00C35957">
        <w:rPr>
          <w:b/>
          <w:bCs/>
          <w:i/>
          <w:iCs/>
          <w:color w:val="000000" w:themeColor="text1"/>
        </w:rPr>
        <w:t>borneoensis</w:t>
      </w:r>
      <w:r w:rsidR="006D2A16" w:rsidRPr="00C35957">
        <w:rPr>
          <w:b/>
          <w:bCs/>
          <w:color w:val="000000" w:themeColor="text1"/>
        </w:rPr>
        <w:t xml:space="preserve"> (Hypericaceae)</w:t>
      </w:r>
      <w:r w:rsidR="00165F4D" w:rsidRPr="00C35957">
        <w:rPr>
          <w:b/>
          <w:bCs/>
          <w:i/>
          <w:iCs/>
          <w:color w:val="000000" w:themeColor="text1"/>
        </w:rPr>
        <w:t xml:space="preserve"> </w:t>
      </w:r>
    </w:p>
    <w:p w14:paraId="28B5B16B" w14:textId="77777777" w:rsidR="00D53587" w:rsidRPr="00AF478C" w:rsidRDefault="00D53587" w:rsidP="00D53587">
      <w:pPr>
        <w:pStyle w:val="font8"/>
        <w:spacing w:before="0" w:beforeAutospacing="0" w:after="0" w:afterAutospacing="0" w:line="288" w:lineRule="atLeast"/>
        <w:jc w:val="center"/>
        <w:rPr>
          <w:b/>
          <w:bCs/>
          <w:color w:val="000000" w:themeColor="text1"/>
        </w:rPr>
      </w:pPr>
    </w:p>
    <w:p w14:paraId="7DFB353C" w14:textId="6F4C316C" w:rsidR="00A33594" w:rsidRPr="00C424DA" w:rsidRDefault="00E8488F" w:rsidP="00C36112">
      <w:pPr>
        <w:pStyle w:val="font8"/>
        <w:spacing w:before="0" w:beforeAutospacing="0" w:after="0" w:afterAutospacing="0" w:line="288" w:lineRule="atLeast"/>
        <w:rPr>
          <w:vertAlign w:val="superscript"/>
          <w:lang w:val="pl-PL"/>
        </w:rPr>
      </w:pPr>
      <w:r w:rsidRPr="00C424DA">
        <w:rPr>
          <w:lang w:val="pl-PL"/>
        </w:rPr>
        <w:t>Krystyna Skalicka-Wo</w:t>
      </w:r>
      <w:r w:rsidR="00542C06" w:rsidRPr="00C424DA">
        <w:rPr>
          <w:lang w:val="pl-PL"/>
        </w:rPr>
        <w:t>ź</w:t>
      </w:r>
      <w:r w:rsidRPr="00C424DA">
        <w:rPr>
          <w:lang w:val="pl-PL"/>
        </w:rPr>
        <w:t>niak</w:t>
      </w:r>
      <w:r w:rsidRPr="00C424DA">
        <w:rPr>
          <w:vertAlign w:val="superscript"/>
          <w:lang w:val="pl-PL"/>
        </w:rPr>
        <w:t>a,*</w:t>
      </w:r>
      <w:r w:rsidRPr="00C424DA">
        <w:rPr>
          <w:lang w:val="pl-PL"/>
        </w:rPr>
        <w:t>, Franz Bucar</w:t>
      </w:r>
      <w:r w:rsidR="00262535" w:rsidRPr="00C424DA">
        <w:rPr>
          <w:vertAlign w:val="superscript"/>
          <w:lang w:val="pl-PL"/>
        </w:rPr>
        <w:t>b</w:t>
      </w:r>
      <w:r w:rsidR="008D5A1E" w:rsidRPr="00C424DA">
        <w:rPr>
          <w:lang w:val="pl-PL"/>
        </w:rPr>
        <w:t xml:space="preserve">, </w:t>
      </w:r>
      <w:r w:rsidR="00A33594" w:rsidRPr="00C424DA">
        <w:rPr>
          <w:lang w:val="pl-PL"/>
        </w:rPr>
        <w:t>Simon Gibbons</w:t>
      </w:r>
      <w:r w:rsidR="00262535" w:rsidRPr="00C424DA">
        <w:rPr>
          <w:vertAlign w:val="superscript"/>
          <w:lang w:val="pl-PL"/>
        </w:rPr>
        <w:t>c</w:t>
      </w:r>
    </w:p>
    <w:p w14:paraId="672E1A4C" w14:textId="77777777" w:rsidR="00D53587" w:rsidRPr="00C424DA" w:rsidRDefault="00D53587" w:rsidP="00D53587">
      <w:pPr>
        <w:pStyle w:val="font8"/>
        <w:spacing w:before="0" w:beforeAutospacing="0" w:after="0" w:afterAutospacing="0" w:line="288" w:lineRule="atLeast"/>
        <w:jc w:val="center"/>
        <w:rPr>
          <w:lang w:val="pl-PL"/>
        </w:rPr>
      </w:pPr>
    </w:p>
    <w:p w14:paraId="690A3D3A" w14:textId="77777777" w:rsidR="00A1524F" w:rsidRDefault="00542C06" w:rsidP="008D5A1E">
      <w:pPr>
        <w:pStyle w:val="font8"/>
        <w:spacing w:before="0" w:beforeAutospacing="0" w:after="0" w:afterAutospacing="0"/>
        <w:rPr>
          <w:i/>
          <w:iCs/>
          <w:color w:val="212121"/>
          <w:shd w:val="clear" w:color="auto" w:fill="FFFFFF"/>
        </w:rPr>
      </w:pPr>
      <w:r w:rsidRPr="00542C06">
        <w:rPr>
          <w:color w:val="000000"/>
          <w:vertAlign w:val="superscript"/>
        </w:rPr>
        <w:t>a</w:t>
      </w:r>
      <w:r w:rsidR="00A1524F" w:rsidRPr="008C3DC7">
        <w:rPr>
          <w:color w:val="000000"/>
        </w:rPr>
        <w:t xml:space="preserve"> </w:t>
      </w:r>
      <w:r w:rsidRPr="00542C06">
        <w:rPr>
          <w:i/>
          <w:iCs/>
          <w:color w:val="212121"/>
          <w:shd w:val="clear" w:color="auto" w:fill="FFFFFF"/>
        </w:rPr>
        <w:t xml:space="preserve">Department of Pharmacognosy with Medicinal Plant Unit, Medical University of Lublin, </w:t>
      </w:r>
    </w:p>
    <w:p w14:paraId="61EB5FB8" w14:textId="7EE31785" w:rsidR="00542C06" w:rsidRPr="00542C06" w:rsidRDefault="00542C06" w:rsidP="008D5A1E">
      <w:pPr>
        <w:pStyle w:val="font8"/>
        <w:spacing w:before="0" w:beforeAutospacing="0" w:after="0" w:afterAutospacing="0"/>
        <w:rPr>
          <w:i/>
          <w:iCs/>
          <w:color w:val="212121"/>
          <w:shd w:val="clear" w:color="auto" w:fill="FFFFFF"/>
        </w:rPr>
      </w:pPr>
      <w:r w:rsidRPr="00542C06">
        <w:rPr>
          <w:i/>
          <w:iCs/>
          <w:color w:val="212121"/>
          <w:shd w:val="clear" w:color="auto" w:fill="FFFFFF"/>
        </w:rPr>
        <w:t>1 Chodzki Str., 20-093 Lublin, Poland</w:t>
      </w:r>
    </w:p>
    <w:p w14:paraId="722F9955" w14:textId="6401F44C" w:rsidR="00542C06" w:rsidRDefault="00542C06" w:rsidP="008D5A1E">
      <w:pPr>
        <w:pStyle w:val="font8"/>
        <w:spacing w:before="0" w:beforeAutospacing="0" w:after="0" w:afterAutospacing="0"/>
        <w:rPr>
          <w:i/>
          <w:iCs/>
          <w:color w:val="212121"/>
          <w:shd w:val="clear" w:color="auto" w:fill="FFFFFF"/>
        </w:rPr>
      </w:pPr>
      <w:r w:rsidRPr="00A1524F">
        <w:rPr>
          <w:color w:val="000000"/>
          <w:vertAlign w:val="superscript"/>
        </w:rPr>
        <w:t>b</w:t>
      </w:r>
      <w:r w:rsidR="00A1524F" w:rsidRPr="008C3DC7">
        <w:rPr>
          <w:i/>
          <w:iCs/>
          <w:color w:val="000000"/>
        </w:rPr>
        <w:t xml:space="preserve"> </w:t>
      </w:r>
      <w:r w:rsidRPr="00250CFA">
        <w:rPr>
          <w:i/>
          <w:iCs/>
          <w:color w:val="212121"/>
          <w:shd w:val="clear" w:color="auto" w:fill="FFFFFF"/>
        </w:rPr>
        <w:t>University of Graz, Institute of Pharmaceutical Sciences, Department of Pharmacognosy, Beethovenstraße 8, 8010 Graz, Austria</w:t>
      </w:r>
    </w:p>
    <w:p w14:paraId="797A68BA" w14:textId="6B032794" w:rsidR="00A1524F" w:rsidRPr="00250CFA" w:rsidRDefault="00A1524F" w:rsidP="008D5A1E">
      <w:pPr>
        <w:pStyle w:val="font8"/>
        <w:spacing w:before="0" w:beforeAutospacing="0" w:after="0" w:afterAutospacing="0"/>
        <w:rPr>
          <w:i/>
          <w:iCs/>
          <w:color w:val="212121"/>
          <w:shd w:val="clear" w:color="auto" w:fill="FFFFFF"/>
        </w:rPr>
      </w:pPr>
      <w:r>
        <w:rPr>
          <w:color w:val="212121"/>
          <w:shd w:val="clear" w:color="auto" w:fill="FFFFFF"/>
          <w:vertAlign w:val="superscript"/>
        </w:rPr>
        <w:t>c</w:t>
      </w:r>
      <w:r w:rsidRPr="008C3DC7">
        <w:rPr>
          <w:color w:val="212121"/>
          <w:shd w:val="clear" w:color="auto" w:fill="FFFFFF"/>
        </w:rPr>
        <w:t xml:space="preserve"> </w:t>
      </w:r>
      <w:r w:rsidRPr="00A1524F">
        <w:rPr>
          <w:i/>
          <w:iCs/>
          <w:color w:val="212121"/>
          <w:shd w:val="clear" w:color="auto" w:fill="FFFFFF"/>
        </w:rPr>
        <w:t>Natural &amp; Medical Sciences Research Centre, University of Nizwa, Nizwa, Oman</w:t>
      </w:r>
    </w:p>
    <w:p w14:paraId="3C729578" w14:textId="77777777" w:rsidR="00D53587" w:rsidRPr="00542C06" w:rsidRDefault="00D53587" w:rsidP="00D53587">
      <w:pPr>
        <w:pStyle w:val="font8"/>
        <w:spacing w:before="0" w:beforeAutospacing="0" w:after="0" w:afterAutospacing="0"/>
        <w:jc w:val="center"/>
        <w:rPr>
          <w:lang w:val="en-US"/>
        </w:rPr>
      </w:pPr>
    </w:p>
    <w:p w14:paraId="0887A162" w14:textId="49A20034" w:rsidR="00AE0506" w:rsidRDefault="00431F06" w:rsidP="00F4359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02122"/>
        </w:rPr>
      </w:pPr>
      <w:r w:rsidRPr="00AE0506">
        <w:t xml:space="preserve">This </w:t>
      </w:r>
      <w:r w:rsidR="00C31902" w:rsidRPr="00AE0506">
        <w:t xml:space="preserve">presentation </w:t>
      </w:r>
      <w:r w:rsidRPr="00AE0506">
        <w:t xml:space="preserve">will cover </w:t>
      </w:r>
      <w:r w:rsidR="00893DEB" w:rsidRPr="00AE0506">
        <w:t xml:space="preserve">the isolation, structure elucidation and biological evaluation of </w:t>
      </w:r>
      <w:r w:rsidR="00AE0506" w:rsidRPr="00AE0506">
        <w:t xml:space="preserve">a </w:t>
      </w:r>
      <w:r w:rsidR="00893DEB" w:rsidRPr="00AE0506">
        <w:t xml:space="preserve">new </w:t>
      </w:r>
      <w:r w:rsidR="00AE0506">
        <w:t xml:space="preserve">prenylated </w:t>
      </w:r>
      <w:r w:rsidR="00893DEB" w:rsidRPr="00AE0506">
        <w:t xml:space="preserve">acylphloroglucinol natural product </w:t>
      </w:r>
      <w:r w:rsidR="00AE0506" w:rsidRPr="00AE0506">
        <w:t>(</w:t>
      </w:r>
      <w:r w:rsidR="00AE0506" w:rsidRPr="00AE0506">
        <w:rPr>
          <w:b/>
          <w:bCs/>
        </w:rPr>
        <w:t>1</w:t>
      </w:r>
      <w:r w:rsidR="00AE0506" w:rsidRPr="00AE0506">
        <w:t xml:space="preserve">) </w:t>
      </w:r>
      <w:r w:rsidR="00893DEB" w:rsidRPr="00AE0506">
        <w:t xml:space="preserve">from </w:t>
      </w:r>
      <w:r w:rsidR="00893DEB" w:rsidRPr="00AE0506">
        <w:rPr>
          <w:i/>
          <w:iCs/>
        </w:rPr>
        <w:t xml:space="preserve">Triadenum </w:t>
      </w:r>
      <w:r w:rsidR="00BB1216">
        <w:rPr>
          <w:i/>
          <w:iCs/>
        </w:rPr>
        <w:t xml:space="preserve">borneoensis </w:t>
      </w:r>
      <w:r w:rsidR="00893DEB" w:rsidRPr="00AE0506">
        <w:t xml:space="preserve">(L.) </w:t>
      </w:r>
      <w:r w:rsidR="00BB1216">
        <w:t>Viljoen</w:t>
      </w:r>
      <w:r w:rsidR="00893DEB" w:rsidRPr="00AE0506">
        <w:t xml:space="preserve">. (Hypericaceae). </w:t>
      </w:r>
      <w:r w:rsidR="00AE0506" w:rsidRPr="00AE0506">
        <w:t xml:space="preserve">The </w:t>
      </w:r>
      <w:r w:rsidR="00AE0506" w:rsidRPr="00AE0506">
        <w:rPr>
          <w:i/>
          <w:iCs/>
        </w:rPr>
        <w:t xml:space="preserve">Triadenum </w:t>
      </w:r>
      <w:r w:rsidR="00AE0506" w:rsidRPr="00AE0506">
        <w:rPr>
          <w:color w:val="202122"/>
        </w:rPr>
        <w:t xml:space="preserve">genus </w:t>
      </w:r>
      <w:r w:rsidR="00AE0506">
        <w:rPr>
          <w:color w:val="202122"/>
        </w:rPr>
        <w:t xml:space="preserve">occurs in North America and Eastern Asia and </w:t>
      </w:r>
      <w:r w:rsidR="00AE0506" w:rsidRPr="00AE0506">
        <w:rPr>
          <w:color w:val="202122"/>
        </w:rPr>
        <w:t>is characterized by opposite, blunt-tipped leaves and pink flowers with 9</w:t>
      </w:r>
      <w:r w:rsidR="00AE0506">
        <w:rPr>
          <w:color w:val="202122"/>
        </w:rPr>
        <w:t xml:space="preserve"> stamens. </w:t>
      </w:r>
      <w:r w:rsidR="00BA402A">
        <w:rPr>
          <w:color w:val="202122"/>
        </w:rPr>
        <w:t xml:space="preserve">Originally considered as a section of </w:t>
      </w:r>
      <w:r w:rsidR="00BA402A">
        <w:rPr>
          <w:i/>
          <w:iCs/>
          <w:color w:val="202122"/>
        </w:rPr>
        <w:t xml:space="preserve">Hypericum </w:t>
      </w:r>
      <w:r w:rsidR="00BA402A">
        <w:rPr>
          <w:color w:val="202122"/>
        </w:rPr>
        <w:t>(Nürk et al., 2013), recent genetic analysis suggests that this genus is a separate taxon (</w:t>
      </w:r>
      <w:r w:rsidR="00B52425">
        <w:rPr>
          <w:color w:val="202122"/>
        </w:rPr>
        <w:t>Robson</w:t>
      </w:r>
      <w:r w:rsidR="008C3DC7">
        <w:rPr>
          <w:color w:val="202122"/>
        </w:rPr>
        <w:t>,</w:t>
      </w:r>
      <w:r w:rsidR="00B52425">
        <w:rPr>
          <w:color w:val="202122"/>
        </w:rPr>
        <w:t xml:space="preserve"> 2021</w:t>
      </w:r>
      <w:r w:rsidR="00BA402A">
        <w:rPr>
          <w:color w:val="202122"/>
        </w:rPr>
        <w:t>).</w:t>
      </w:r>
      <w:r w:rsidR="00BB1216">
        <w:rPr>
          <w:color w:val="202122"/>
        </w:rPr>
        <w:t xml:space="preserve"> </w:t>
      </w:r>
    </w:p>
    <w:p w14:paraId="088DCAB4" w14:textId="2BC45F16" w:rsidR="00BB1216" w:rsidRPr="00BA402A" w:rsidRDefault="00BB1216" w:rsidP="00F4359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As part of our continuing search for new phytochemistry and cytotoxic compounds from plants of the order Malpighiales, we made collections of </w:t>
      </w:r>
      <w:r>
        <w:rPr>
          <w:i/>
          <w:iCs/>
          <w:color w:val="202122"/>
        </w:rPr>
        <w:t xml:space="preserve">T. borneoensis </w:t>
      </w:r>
      <w:r>
        <w:rPr>
          <w:color w:val="202122"/>
        </w:rPr>
        <w:t>from Kota Kinabalu (Sarawak)</w:t>
      </w:r>
      <w:r w:rsidR="00C36112">
        <w:rPr>
          <w:color w:val="202122"/>
        </w:rPr>
        <w:t xml:space="preserve"> (</w:t>
      </w:r>
      <w:r w:rsidR="009C1076">
        <w:rPr>
          <w:color w:val="202122"/>
        </w:rPr>
        <w:t>Soepadmo et al., 2002</w:t>
      </w:r>
      <w:r w:rsidR="00C36112">
        <w:rPr>
          <w:color w:val="202122"/>
        </w:rPr>
        <w:t>)</w:t>
      </w:r>
      <w:r>
        <w:rPr>
          <w:color w:val="202122"/>
        </w:rPr>
        <w:t>. An EtOAc extract of the air</w:t>
      </w:r>
      <w:r w:rsidR="00C5264A">
        <w:rPr>
          <w:color w:val="202122"/>
        </w:rPr>
        <w:t>-</w:t>
      </w:r>
      <w:r>
        <w:rPr>
          <w:color w:val="202122"/>
        </w:rPr>
        <w:t xml:space="preserve">dried aerial parts of the plant exhibited significant cytotoxicity </w:t>
      </w:r>
      <w:r w:rsidR="00C5264A">
        <w:rPr>
          <w:color w:val="202122"/>
        </w:rPr>
        <w:t>(ED</w:t>
      </w:r>
      <w:r w:rsidR="00C5264A" w:rsidRPr="00C5264A">
        <w:rPr>
          <w:color w:val="202122"/>
          <w:vertAlign w:val="subscript"/>
        </w:rPr>
        <w:t>50</w:t>
      </w:r>
      <w:r w:rsidR="00C5264A">
        <w:rPr>
          <w:color w:val="202122"/>
        </w:rPr>
        <w:t xml:space="preserve"> &lt; 0.5 </w:t>
      </w:r>
      <w:r w:rsidR="00C5264A" w:rsidRPr="00C5264A">
        <w:rPr>
          <w:rFonts w:ascii="Symbol" w:hAnsi="Symbol"/>
          <w:i/>
          <w:iCs/>
          <w:color w:val="202122"/>
        </w:rPr>
        <w:t></w:t>
      </w:r>
      <w:r w:rsidR="00C5264A">
        <w:rPr>
          <w:color w:val="202122"/>
        </w:rPr>
        <w:t xml:space="preserve">g/mL) </w:t>
      </w:r>
      <w:r>
        <w:rPr>
          <w:color w:val="202122"/>
        </w:rPr>
        <w:t>towards</w:t>
      </w:r>
      <w:r w:rsidR="00C5264A">
        <w:rPr>
          <w:color w:val="202122"/>
        </w:rPr>
        <w:t xml:space="preserve"> the MCF-7 cell line. Bioassay-guided isolation using VLC and HSCCC</w:t>
      </w:r>
      <w:r w:rsidR="008472FE">
        <w:rPr>
          <w:color w:val="202122"/>
        </w:rPr>
        <w:t xml:space="preserve"> and structure elucidation employing </w:t>
      </w:r>
      <w:r w:rsidR="00301E27">
        <w:rPr>
          <w:color w:val="202122"/>
        </w:rPr>
        <w:t xml:space="preserve">extensive </w:t>
      </w:r>
      <w:r w:rsidR="008472FE">
        <w:rPr>
          <w:color w:val="202122"/>
        </w:rPr>
        <w:t>NMR spectroscopy and HRE</w:t>
      </w:r>
      <w:r w:rsidR="006A13FB">
        <w:rPr>
          <w:color w:val="202122"/>
        </w:rPr>
        <w:t>SI</w:t>
      </w:r>
      <w:r w:rsidR="008472FE">
        <w:rPr>
          <w:color w:val="202122"/>
        </w:rPr>
        <w:t>MS</w:t>
      </w:r>
      <w:r w:rsidR="002D07D8">
        <w:rPr>
          <w:color w:val="202122"/>
        </w:rPr>
        <w:t>,</w:t>
      </w:r>
      <w:r w:rsidR="00C5264A">
        <w:rPr>
          <w:color w:val="202122"/>
        </w:rPr>
        <w:t xml:space="preserve"> led to the new prenylated acylphloroglucinol </w:t>
      </w:r>
      <w:r w:rsidR="00C5264A">
        <w:rPr>
          <w:b/>
          <w:bCs/>
          <w:color w:val="202122"/>
        </w:rPr>
        <w:t>1</w:t>
      </w:r>
      <w:r w:rsidR="00ED60A6">
        <w:rPr>
          <w:b/>
          <w:bCs/>
          <w:color w:val="202122"/>
        </w:rPr>
        <w:t xml:space="preserve"> </w:t>
      </w:r>
      <w:r w:rsidR="00ED60A6">
        <w:rPr>
          <w:color w:val="202122"/>
        </w:rPr>
        <w:t>(Fig. 1)</w:t>
      </w:r>
      <w:r w:rsidR="008472FE">
        <w:rPr>
          <w:color w:val="202122"/>
        </w:rPr>
        <w:t>.</w:t>
      </w:r>
    </w:p>
    <w:p w14:paraId="0C277CBF" w14:textId="4689FFEE" w:rsidR="009551C3" w:rsidRDefault="003A0E85" w:rsidP="00DD5E54">
      <w:pPr>
        <w:pStyle w:val="font8"/>
        <w:spacing w:before="0" w:beforeAutospacing="0" w:after="0" w:afterAutospacing="0" w:line="0" w:lineRule="atLeast"/>
        <w:jc w:val="center"/>
      </w:pPr>
      <w:r w:rsidRPr="00AF478C">
        <w:object w:dxaOrig="2925" w:dyaOrig="2397" w14:anchorId="02A20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19.65pt" o:ole="">
            <v:imagedata r:id="rId6" o:title=""/>
          </v:shape>
          <o:OLEObject Type="Embed" ProgID="ChemDraw.Document.6.0" ShapeID="_x0000_i1025" DrawAspect="Content" ObjectID="_1759131589" r:id="rId7"/>
        </w:object>
      </w:r>
    </w:p>
    <w:p w14:paraId="0BA914EC" w14:textId="58C2147B" w:rsidR="003A0E85" w:rsidRDefault="003A0E85" w:rsidP="00DD5E54">
      <w:pPr>
        <w:pStyle w:val="font8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 xml:space="preserve">Fig. 1. </w:t>
      </w:r>
      <w:r>
        <w:t xml:space="preserve">Structure of prenylated acylphloroglucinol </w:t>
      </w:r>
      <w:r>
        <w:rPr>
          <w:b/>
          <w:bCs/>
        </w:rPr>
        <w:t>1</w:t>
      </w:r>
    </w:p>
    <w:p w14:paraId="7F31BD16" w14:textId="77777777" w:rsidR="003A0E85" w:rsidRPr="003A0E85" w:rsidRDefault="003A0E85" w:rsidP="00DD5E54">
      <w:pPr>
        <w:pStyle w:val="font8"/>
        <w:spacing w:before="0" w:beforeAutospacing="0" w:after="0" w:afterAutospacing="0" w:line="0" w:lineRule="atLeast"/>
        <w:jc w:val="center"/>
        <w:rPr>
          <w:b/>
          <w:bCs/>
        </w:rPr>
      </w:pPr>
    </w:p>
    <w:p w14:paraId="588CCB5F" w14:textId="0D411ECB" w:rsidR="00C5264A" w:rsidRDefault="008472FE" w:rsidP="005B0DE0">
      <w:pPr>
        <w:pStyle w:val="font8"/>
        <w:spacing w:before="0" w:beforeAutospacing="0" w:after="0" w:afterAutospacing="0" w:line="0" w:lineRule="atLeast"/>
        <w:jc w:val="both"/>
        <w:rPr>
          <w:b/>
          <w:bCs/>
          <w:color w:val="202122"/>
        </w:rPr>
      </w:pPr>
      <w:r>
        <w:t>Single</w:t>
      </w:r>
      <w:r w:rsidR="000C640F">
        <w:t>-</w:t>
      </w:r>
      <w:r>
        <w:t xml:space="preserve">crystal X-ray diffraction analysis </w:t>
      </w:r>
      <w:r w:rsidR="002D07D8">
        <w:t>established</w:t>
      </w:r>
      <w:r>
        <w:t xml:space="preserve"> the </w:t>
      </w:r>
      <w:r w:rsidR="002D07D8">
        <w:t>complete</w:t>
      </w:r>
      <w:r>
        <w:t xml:space="preserve"> absolute stereochemistry of </w:t>
      </w:r>
      <w:r w:rsidR="000C640F">
        <w:t xml:space="preserve">natural product </w:t>
      </w:r>
      <w:r>
        <w:rPr>
          <w:b/>
          <w:bCs/>
        </w:rPr>
        <w:t>1</w:t>
      </w:r>
      <w:r w:rsidR="009C0CA5">
        <w:rPr>
          <w:b/>
          <w:bCs/>
        </w:rPr>
        <w:t xml:space="preserve"> </w:t>
      </w:r>
      <w:r w:rsidR="009C0CA5">
        <w:t>as depicted</w:t>
      </w:r>
      <w:r w:rsidR="008470D0">
        <w:t xml:space="preserve">. Cytotoxicity profiling </w:t>
      </w:r>
      <w:r w:rsidR="00301E27">
        <w:t xml:space="preserve">demonstrated </w:t>
      </w:r>
      <w:r w:rsidR="008470D0">
        <w:t xml:space="preserve">that </w:t>
      </w:r>
      <w:r w:rsidR="008470D0">
        <w:rPr>
          <w:b/>
          <w:bCs/>
        </w:rPr>
        <w:t xml:space="preserve">1 </w:t>
      </w:r>
      <w:r w:rsidR="008470D0">
        <w:t xml:space="preserve">has </w:t>
      </w:r>
      <w:r w:rsidR="00301E27">
        <w:t>noteworthy</w:t>
      </w:r>
      <w:r>
        <w:rPr>
          <w:color w:val="202122"/>
        </w:rPr>
        <w:t xml:space="preserve"> </w:t>
      </w:r>
      <w:r w:rsidR="008470D0">
        <w:rPr>
          <w:color w:val="202122"/>
        </w:rPr>
        <w:t xml:space="preserve">activity </w:t>
      </w:r>
      <w:r>
        <w:rPr>
          <w:color w:val="202122"/>
        </w:rPr>
        <w:t xml:space="preserve">against an extensive panel of </w:t>
      </w:r>
      <w:r w:rsidR="008470D0">
        <w:rPr>
          <w:color w:val="202122"/>
        </w:rPr>
        <w:t xml:space="preserve">multidrug-resistant </w:t>
      </w:r>
      <w:r>
        <w:rPr>
          <w:color w:val="202122"/>
        </w:rPr>
        <w:t xml:space="preserve">cancer cell lines </w:t>
      </w:r>
      <w:r w:rsidR="008470D0">
        <w:rPr>
          <w:color w:val="202122"/>
        </w:rPr>
        <w:t xml:space="preserve">with </w:t>
      </w:r>
      <w:r>
        <w:rPr>
          <w:color w:val="202122"/>
        </w:rPr>
        <w:t>ED</w:t>
      </w:r>
      <w:r w:rsidRPr="00F57619">
        <w:rPr>
          <w:color w:val="202122"/>
          <w:vertAlign w:val="subscript"/>
        </w:rPr>
        <w:t>50</w:t>
      </w:r>
      <w:r>
        <w:rPr>
          <w:color w:val="202122"/>
        </w:rPr>
        <w:t xml:space="preserve"> </w:t>
      </w:r>
      <w:r w:rsidR="008470D0">
        <w:rPr>
          <w:color w:val="202122"/>
        </w:rPr>
        <w:t xml:space="preserve">values in the range of </w:t>
      </w:r>
      <w:r>
        <w:rPr>
          <w:color w:val="202122"/>
        </w:rPr>
        <w:t>1.5-6 nM.</w:t>
      </w:r>
      <w:r w:rsidR="00301E27">
        <w:rPr>
          <w:color w:val="202122"/>
        </w:rPr>
        <w:t xml:space="preserve"> Preliminary mechanistic studies suggest that </w:t>
      </w:r>
      <w:r w:rsidR="0005136F">
        <w:rPr>
          <w:b/>
          <w:bCs/>
          <w:color w:val="202122"/>
        </w:rPr>
        <w:t>1</w:t>
      </w:r>
      <w:r w:rsidR="008470D0">
        <w:rPr>
          <w:color w:val="202122"/>
        </w:rPr>
        <w:t xml:space="preserve"> </w:t>
      </w:r>
      <w:r w:rsidR="00C731AC">
        <w:rPr>
          <w:color w:val="202122"/>
        </w:rPr>
        <w:t xml:space="preserve">is </w:t>
      </w:r>
      <w:r w:rsidR="008470D0">
        <w:rPr>
          <w:color w:val="202122"/>
        </w:rPr>
        <w:t>a potent inhibitor of topoisomerase</w:t>
      </w:r>
      <w:r w:rsidR="004D5D63">
        <w:rPr>
          <w:color w:val="202122"/>
        </w:rPr>
        <w:t>-</w:t>
      </w:r>
      <w:r w:rsidR="008470D0">
        <w:rPr>
          <w:color w:val="202122"/>
        </w:rPr>
        <w:t>II</w:t>
      </w:r>
      <w:r w:rsidR="003726CD">
        <w:rPr>
          <w:color w:val="202122"/>
        </w:rPr>
        <w:t xml:space="preserve"> (Reece et al., 1991)</w:t>
      </w:r>
      <w:r w:rsidR="008470D0">
        <w:rPr>
          <w:color w:val="202122"/>
        </w:rPr>
        <w:t xml:space="preserve">. </w:t>
      </w:r>
      <w:r w:rsidR="00ED5AB3">
        <w:rPr>
          <w:color w:val="202122"/>
        </w:rPr>
        <w:t xml:space="preserve">It is proposed that </w:t>
      </w:r>
      <w:r w:rsidR="00ED5AB3" w:rsidRPr="003726CD">
        <w:rPr>
          <w:b/>
          <w:bCs/>
          <w:color w:val="202122"/>
        </w:rPr>
        <w:t>1</w:t>
      </w:r>
      <w:r w:rsidR="00ED5AB3">
        <w:rPr>
          <w:color w:val="202122"/>
        </w:rPr>
        <w:t xml:space="preserve"> is biosynthesized from prenylation and geranylation of the acylphloroglucinol </w:t>
      </w:r>
      <w:r w:rsidR="003726CD">
        <w:rPr>
          <w:color w:val="202122"/>
        </w:rPr>
        <w:t>core</w:t>
      </w:r>
      <w:r w:rsidR="00ED5AB3">
        <w:rPr>
          <w:color w:val="202122"/>
        </w:rPr>
        <w:t>, followed by oxidation and methylation.</w:t>
      </w:r>
    </w:p>
    <w:p w14:paraId="42BAC04B" w14:textId="77777777" w:rsidR="009C0CA5" w:rsidRPr="0005136F" w:rsidRDefault="009C0CA5" w:rsidP="005B0DE0">
      <w:pPr>
        <w:pStyle w:val="font8"/>
        <w:spacing w:before="0" w:beforeAutospacing="0" w:after="0" w:afterAutospacing="0" w:line="0" w:lineRule="atLeast"/>
        <w:jc w:val="both"/>
      </w:pPr>
    </w:p>
    <w:p w14:paraId="3886D428" w14:textId="41427191" w:rsidR="00B64070" w:rsidRDefault="00B657C9" w:rsidP="005B0DE0">
      <w:pPr>
        <w:pStyle w:val="font8"/>
        <w:spacing w:before="0" w:beforeAutospacing="0" w:after="0" w:afterAutospacing="0" w:line="0" w:lineRule="atLeast"/>
        <w:jc w:val="both"/>
        <w:rPr>
          <w:i/>
          <w:iCs/>
        </w:rPr>
      </w:pPr>
      <w:r>
        <w:rPr>
          <w:i/>
          <w:iCs/>
        </w:rPr>
        <w:t>Keywords</w:t>
      </w:r>
      <w:r w:rsidR="003726CD">
        <w:rPr>
          <w:i/>
          <w:iCs/>
        </w:rPr>
        <w:t xml:space="preserve">: </w:t>
      </w:r>
      <w:r w:rsidR="004D5D63" w:rsidRPr="004D5D63">
        <w:rPr>
          <w:i/>
          <w:iCs/>
          <w:color w:val="000000" w:themeColor="text1"/>
        </w:rPr>
        <w:t xml:space="preserve">Triadenum borneoensis, </w:t>
      </w:r>
      <w:r w:rsidR="004D5D63" w:rsidRPr="004D5D63">
        <w:rPr>
          <w:color w:val="000000" w:themeColor="text1"/>
        </w:rPr>
        <w:t>Hypericaceae, cytotoxicity, HSCC</w:t>
      </w:r>
      <w:r w:rsidR="006A13FB">
        <w:rPr>
          <w:color w:val="000000" w:themeColor="text1"/>
        </w:rPr>
        <w:t>C</w:t>
      </w:r>
      <w:r w:rsidR="004D5D63" w:rsidRPr="004D5D63">
        <w:rPr>
          <w:color w:val="000000" w:themeColor="text1"/>
        </w:rPr>
        <w:t>, topoisomerase-II</w:t>
      </w:r>
    </w:p>
    <w:p w14:paraId="18E17833" w14:textId="77777777" w:rsidR="00B657C9" w:rsidRPr="00B657C9" w:rsidRDefault="00B657C9" w:rsidP="005B0DE0">
      <w:pPr>
        <w:pStyle w:val="font8"/>
        <w:spacing w:before="0" w:beforeAutospacing="0" w:after="0" w:afterAutospacing="0" w:line="0" w:lineRule="atLeast"/>
        <w:jc w:val="both"/>
      </w:pPr>
    </w:p>
    <w:p w14:paraId="55473B7A" w14:textId="3697BFB9" w:rsidR="00B64070" w:rsidRDefault="00B64070" w:rsidP="00F43595">
      <w:pPr>
        <w:pStyle w:val="font8"/>
        <w:spacing w:before="0" w:beforeAutospacing="0" w:after="120" w:afterAutospacing="0" w:line="0" w:lineRule="atLeast"/>
        <w:jc w:val="both"/>
        <w:rPr>
          <w:b/>
          <w:bCs/>
        </w:rPr>
      </w:pPr>
      <w:r w:rsidRPr="00AF478C">
        <w:rPr>
          <w:b/>
          <w:bCs/>
        </w:rPr>
        <w:t>References</w:t>
      </w:r>
    </w:p>
    <w:p w14:paraId="3813664B" w14:textId="25780FC4" w:rsidR="00001724" w:rsidRPr="00A12DC2" w:rsidRDefault="00BA402A" w:rsidP="000223BE">
      <w:pPr>
        <w:pStyle w:val="font8"/>
        <w:spacing w:before="0" w:beforeAutospacing="0" w:after="60" w:afterAutospacing="0"/>
        <w:jc w:val="both"/>
        <w:rPr>
          <w:color w:val="000000" w:themeColor="text1"/>
          <w:sz w:val="20"/>
          <w:szCs w:val="20"/>
        </w:rPr>
      </w:pPr>
      <w:r w:rsidRPr="00A12DC2">
        <w:rPr>
          <w:rStyle w:val="text"/>
          <w:color w:val="000000" w:themeColor="text1"/>
          <w:sz w:val="20"/>
          <w:szCs w:val="20"/>
        </w:rPr>
        <w:t>Nürk</w:t>
      </w:r>
      <w:r w:rsidRPr="00A12DC2">
        <w:rPr>
          <w:color w:val="000000" w:themeColor="text1"/>
          <w:sz w:val="20"/>
          <w:szCs w:val="20"/>
        </w:rPr>
        <w:t>,</w:t>
      </w:r>
      <w:r w:rsidR="00A12DC2">
        <w:rPr>
          <w:color w:val="000000" w:themeColor="text1"/>
          <w:sz w:val="20"/>
          <w:szCs w:val="20"/>
        </w:rPr>
        <w:t xml:space="preserve"> N.M., </w:t>
      </w:r>
      <w:r w:rsidRPr="00A12DC2">
        <w:rPr>
          <w:rStyle w:val="text"/>
          <w:color w:val="000000" w:themeColor="text1"/>
          <w:sz w:val="20"/>
          <w:szCs w:val="20"/>
        </w:rPr>
        <w:t>Madriñán</w:t>
      </w:r>
      <w:r w:rsidRPr="00A12DC2">
        <w:rPr>
          <w:color w:val="000000" w:themeColor="text1"/>
          <w:sz w:val="20"/>
          <w:szCs w:val="20"/>
        </w:rPr>
        <w:t>,</w:t>
      </w:r>
      <w:r w:rsidR="00A12DC2">
        <w:rPr>
          <w:color w:val="000000" w:themeColor="text1"/>
          <w:sz w:val="20"/>
          <w:szCs w:val="20"/>
        </w:rPr>
        <w:t xml:space="preserve"> S., </w:t>
      </w:r>
      <w:r w:rsidRPr="00A12DC2">
        <w:rPr>
          <w:rStyle w:val="text"/>
          <w:color w:val="000000" w:themeColor="text1"/>
          <w:sz w:val="20"/>
          <w:szCs w:val="20"/>
        </w:rPr>
        <w:t>Carine</w:t>
      </w:r>
      <w:r w:rsidRPr="00A12DC2">
        <w:rPr>
          <w:color w:val="000000" w:themeColor="text1"/>
          <w:sz w:val="20"/>
          <w:szCs w:val="20"/>
        </w:rPr>
        <w:t>,</w:t>
      </w:r>
      <w:r w:rsidR="00A12DC2">
        <w:rPr>
          <w:color w:val="000000" w:themeColor="text1"/>
          <w:sz w:val="20"/>
          <w:szCs w:val="20"/>
        </w:rPr>
        <w:t xml:space="preserve"> M.A., </w:t>
      </w:r>
      <w:r w:rsidRPr="00A12DC2">
        <w:rPr>
          <w:rStyle w:val="text"/>
          <w:color w:val="000000" w:themeColor="text1"/>
          <w:sz w:val="20"/>
          <w:szCs w:val="20"/>
        </w:rPr>
        <w:t>Chase</w:t>
      </w:r>
      <w:r w:rsidRPr="00A12DC2">
        <w:rPr>
          <w:color w:val="000000" w:themeColor="text1"/>
          <w:sz w:val="20"/>
          <w:szCs w:val="20"/>
        </w:rPr>
        <w:t>,</w:t>
      </w:r>
      <w:r w:rsidR="00A12DC2">
        <w:rPr>
          <w:color w:val="000000" w:themeColor="text1"/>
          <w:sz w:val="20"/>
          <w:szCs w:val="20"/>
        </w:rPr>
        <w:t xml:space="preserve"> M.W., </w:t>
      </w:r>
      <w:r w:rsidRPr="00A12DC2">
        <w:rPr>
          <w:rStyle w:val="text"/>
          <w:color w:val="000000" w:themeColor="text1"/>
          <w:sz w:val="20"/>
          <w:szCs w:val="20"/>
        </w:rPr>
        <w:t>Blattner</w:t>
      </w:r>
      <w:r w:rsidR="00A12DC2">
        <w:rPr>
          <w:rStyle w:val="text"/>
          <w:color w:val="000000" w:themeColor="text1"/>
          <w:sz w:val="20"/>
          <w:szCs w:val="20"/>
        </w:rPr>
        <w:t xml:space="preserve">, F.R., 2013. </w:t>
      </w:r>
      <w:r w:rsidR="00A12DC2" w:rsidRPr="00A12DC2">
        <w:rPr>
          <w:rStyle w:val="title-text"/>
          <w:color w:val="000000" w:themeColor="text1"/>
          <w:sz w:val="20"/>
          <w:szCs w:val="20"/>
        </w:rPr>
        <w:t>Molecular phylogenetics and morphological evolution of St. John’s wort (</w:t>
      </w:r>
      <w:r w:rsidR="00A12DC2" w:rsidRPr="00A12DC2">
        <w:rPr>
          <w:rStyle w:val="Emphasis"/>
          <w:color w:val="000000" w:themeColor="text1"/>
          <w:sz w:val="20"/>
          <w:szCs w:val="20"/>
        </w:rPr>
        <w:t>Hypericum</w:t>
      </w:r>
      <w:r w:rsidR="00A12DC2" w:rsidRPr="00A12DC2">
        <w:rPr>
          <w:rStyle w:val="title-text"/>
          <w:color w:val="000000" w:themeColor="text1"/>
          <w:sz w:val="20"/>
          <w:szCs w:val="20"/>
        </w:rPr>
        <w:t>; Hypericaceae)</w:t>
      </w:r>
      <w:r w:rsidR="00A12DC2">
        <w:rPr>
          <w:rStyle w:val="title-text"/>
          <w:color w:val="000000" w:themeColor="text1"/>
          <w:sz w:val="20"/>
          <w:szCs w:val="20"/>
        </w:rPr>
        <w:t xml:space="preserve">. </w:t>
      </w:r>
      <w:hyperlink r:id="rId8" w:tooltip="Go to Molecular Phylogenetics and Evolution on ScienceDirect" w:history="1">
        <w:r w:rsidRPr="00A12DC2">
          <w:rPr>
            <w:color w:val="000000" w:themeColor="text1"/>
            <w:sz w:val="20"/>
            <w:szCs w:val="20"/>
            <w:lang w:val="en-US"/>
          </w:rPr>
          <w:t>Mol</w:t>
        </w:r>
        <w:r w:rsidR="008C2752">
          <w:rPr>
            <w:color w:val="000000" w:themeColor="text1"/>
            <w:sz w:val="20"/>
            <w:szCs w:val="20"/>
            <w:lang w:val="en-US"/>
          </w:rPr>
          <w:t>.</w:t>
        </w:r>
        <w:r w:rsidRPr="00A12DC2">
          <w:rPr>
            <w:color w:val="000000" w:themeColor="text1"/>
            <w:sz w:val="20"/>
            <w:szCs w:val="20"/>
            <w:lang w:val="en-US"/>
          </w:rPr>
          <w:t xml:space="preserve"> Phylogenetics Evol</w:t>
        </w:r>
        <w:r w:rsidR="008C2752">
          <w:rPr>
            <w:color w:val="000000" w:themeColor="text1"/>
            <w:sz w:val="20"/>
            <w:szCs w:val="20"/>
            <w:lang w:val="en-US"/>
          </w:rPr>
          <w:t>.</w:t>
        </w:r>
      </w:hyperlink>
      <w:r w:rsidR="008C2752">
        <w:rPr>
          <w:color w:val="000000" w:themeColor="text1"/>
          <w:sz w:val="20"/>
          <w:szCs w:val="20"/>
          <w:lang w:val="en-US"/>
        </w:rPr>
        <w:t xml:space="preserve"> </w:t>
      </w:r>
      <w:hyperlink r:id="rId9" w:tooltip="Go to table of contents for this volume/issue" w:history="1">
        <w:r w:rsidRPr="00A12DC2">
          <w:rPr>
            <w:color w:val="000000" w:themeColor="text1"/>
            <w:sz w:val="20"/>
            <w:szCs w:val="20"/>
            <w:lang w:val="en-US"/>
          </w:rPr>
          <w:t xml:space="preserve">66, </w:t>
        </w:r>
      </w:hyperlink>
      <w:r w:rsidRPr="00A12DC2">
        <w:rPr>
          <w:color w:val="000000" w:themeColor="text1"/>
          <w:sz w:val="20"/>
          <w:szCs w:val="20"/>
          <w:lang w:val="en-US"/>
        </w:rPr>
        <w:t>1-16</w:t>
      </w:r>
      <w:r w:rsidR="00A12DC2">
        <w:rPr>
          <w:color w:val="000000" w:themeColor="text1"/>
          <w:sz w:val="20"/>
          <w:szCs w:val="20"/>
          <w:lang w:val="en-US"/>
        </w:rPr>
        <w:t>.</w:t>
      </w:r>
      <w:r w:rsidR="00001724" w:rsidRPr="00A12DC2">
        <w:rPr>
          <w:color w:val="000000" w:themeColor="text1"/>
          <w:sz w:val="20"/>
          <w:szCs w:val="20"/>
          <w:lang w:val="en-US"/>
        </w:rPr>
        <w:t xml:space="preserve"> </w:t>
      </w:r>
    </w:p>
    <w:p w14:paraId="44DCBB56" w14:textId="51DEAE71" w:rsidR="00C731AC" w:rsidRDefault="008C2752" w:rsidP="000223BE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2DC2"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Reece</w:t>
      </w:r>
      <w:r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12DC2"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 xml:space="preserve"> R</w:t>
      </w:r>
      <w:r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12DC2"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J</w:t>
      </w:r>
      <w:r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12DC2"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, Maxwell</w:t>
      </w:r>
      <w:r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12DC2"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 xml:space="preserve"> A.</w:t>
      </w:r>
      <w:r>
        <w:rPr>
          <w:rStyle w:val="docsum-authors"/>
          <w:rFonts w:ascii="Times New Roman" w:hAnsi="Times New Roman" w:cs="Times New Roman"/>
          <w:color w:val="000000" w:themeColor="text1"/>
          <w:sz w:val="20"/>
          <w:szCs w:val="20"/>
        </w:rPr>
        <w:t xml:space="preserve">, 1991. </w:t>
      </w:r>
      <w:hyperlink r:id="rId10" w:history="1">
        <w:r w:rsidR="00A12DC2" w:rsidRPr="00A12DC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DNA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</w:t>
        </w:r>
        <w:r w:rsidR="00A12DC2" w:rsidRPr="00A12DC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gyrase: structure and function.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Crit</w:t>
      </w:r>
      <w:r w:rsidR="00F43595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 xml:space="preserve"> Rev</w:t>
      </w:r>
      <w:r w:rsidR="00F43595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 xml:space="preserve"> Biochem</w:t>
      </w:r>
      <w:r w:rsidR="00F43595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 xml:space="preserve"> Mol</w:t>
      </w:r>
      <w:r w:rsidR="00F43595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 xml:space="preserve"> Biol. 26</w:t>
      </w:r>
      <w:r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335-</w:t>
      </w:r>
      <w:r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A12DC2" w:rsidRPr="00A12DC2">
        <w:rPr>
          <w:rStyle w:val="docsum-journal-citation"/>
          <w:rFonts w:ascii="Times New Roman" w:hAnsi="Times New Roman" w:cs="Times New Roman"/>
          <w:color w:val="000000" w:themeColor="text1"/>
          <w:sz w:val="20"/>
          <w:szCs w:val="20"/>
        </w:rPr>
        <w:t>75.</w:t>
      </w:r>
    </w:p>
    <w:p w14:paraId="51A601C0" w14:textId="77777777" w:rsidR="00C731AC" w:rsidRDefault="00FE541A" w:rsidP="000223B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Robson, N.K.</w:t>
      </w:r>
      <w:r w:rsid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Pr="00C731AC">
        <w:rPr>
          <w:rStyle w:val="HTMLCit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2021.</w:t>
      </w:r>
      <w:r w:rsidR="00C731AC" w:rsidRPr="00C73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3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Studies in the genus </w:t>
      </w:r>
      <w:r w:rsidRPr="00C731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Hypericum</w:t>
      </w:r>
      <w:r w:rsidRPr="00C73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L.(Hypericaceae)</w:t>
      </w:r>
      <w:r w:rsidR="00C73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Phytotaxa.</w:t>
      </w:r>
      <w:r w:rsid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72</w:t>
      </w:r>
      <w:r w:rsid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, </w:t>
      </w:r>
      <w:r w:rsidRP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1</w:t>
      </w:r>
      <w:r w:rsidR="00C731AC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-111.</w:t>
      </w:r>
    </w:p>
    <w:p w14:paraId="498EC7B5" w14:textId="0CF5ED87" w:rsidR="009C1076" w:rsidRPr="00C731AC" w:rsidRDefault="009C1076" w:rsidP="000223BE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A12DC2">
        <w:rPr>
          <w:rFonts w:ascii="Times New Roman" w:hAnsi="Times New Roman" w:cs="Times New Roman"/>
          <w:color w:val="000000" w:themeColor="text1"/>
          <w:sz w:val="20"/>
          <w:szCs w:val="20"/>
        </w:rPr>
        <w:t>Soepadmo, E., Saw, L.G., Chung, R.C.K. (Eds,). 2002. The Tree Flora of Sabah and Sarawak</w:t>
      </w:r>
      <w:r w:rsidR="004C04E8" w:rsidRPr="00A12DC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12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Volume 4</w:t>
      </w:r>
      <w:r w:rsidR="004C04E8" w:rsidRPr="00A12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Forest Research Institute of Malaysia, </w:t>
      </w:r>
      <w:r w:rsidR="004C04E8" w:rsidRPr="00A12D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Selangor Darul Ehsan.</w:t>
      </w:r>
    </w:p>
    <w:p w14:paraId="04F48B8F" w14:textId="64D4B600" w:rsidR="008D5A1E" w:rsidRPr="00C424DA" w:rsidRDefault="00C731AC" w:rsidP="00C731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pl-PL" w:eastAsia="en-GB"/>
        </w:rPr>
      </w:pPr>
      <w:r w:rsidRPr="00C731AC">
        <w:rPr>
          <w:rFonts w:ascii="Times New Roman" w:hAnsi="Times New Roman" w:cs="Times New Roman"/>
          <w:sz w:val="20"/>
          <w:szCs w:val="20"/>
        </w:rPr>
        <w:t xml:space="preserve">* </w:t>
      </w:r>
      <w:r w:rsidR="006A13FB">
        <w:rPr>
          <w:rFonts w:ascii="Times New Roman" w:hAnsi="Times New Roman" w:cs="Times New Roman"/>
          <w:sz w:val="20"/>
          <w:szCs w:val="20"/>
        </w:rPr>
        <w:t>Presenting</w:t>
      </w:r>
      <w:r w:rsidR="006A13FB" w:rsidRPr="00C731AC">
        <w:rPr>
          <w:rFonts w:ascii="Times New Roman" w:hAnsi="Times New Roman" w:cs="Times New Roman"/>
          <w:sz w:val="20"/>
          <w:szCs w:val="20"/>
        </w:rPr>
        <w:t xml:space="preserve"> </w:t>
      </w:r>
      <w:r w:rsidR="008D5A1E" w:rsidRPr="00C731AC">
        <w:rPr>
          <w:rFonts w:ascii="Times New Roman" w:hAnsi="Times New Roman" w:cs="Times New Roman"/>
          <w:sz w:val="20"/>
          <w:szCs w:val="20"/>
        </w:rPr>
        <w:t xml:space="preserve">author. </w:t>
      </w:r>
      <w:r w:rsidR="008D5A1E" w:rsidRPr="00C424DA">
        <w:rPr>
          <w:rFonts w:ascii="Times New Roman" w:hAnsi="Times New Roman" w:cs="Times New Roman"/>
          <w:i/>
          <w:iCs/>
          <w:sz w:val="20"/>
          <w:szCs w:val="20"/>
          <w:lang w:val="pl-PL"/>
        </w:rPr>
        <w:t>E-mail address</w:t>
      </w:r>
      <w:r w:rsidR="008D5A1E" w:rsidRPr="00C424DA">
        <w:rPr>
          <w:rFonts w:ascii="Times New Roman" w:hAnsi="Times New Roman" w:cs="Times New Roman"/>
          <w:sz w:val="20"/>
          <w:szCs w:val="20"/>
          <w:lang w:val="pl-PL"/>
        </w:rPr>
        <w:t xml:space="preserve">: </w:t>
      </w:r>
      <w:hyperlink r:id="rId11" w:history="1">
        <w:r w:rsidRPr="00C424D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pl-PL"/>
          </w:rPr>
          <w:t>kskalicka@pharmacognosy.org</w:t>
        </w:r>
      </w:hyperlink>
      <w:r w:rsidRPr="00C424DA">
        <w:rPr>
          <w:rStyle w:val="Strong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pl-PL"/>
        </w:rPr>
        <w:t xml:space="preserve"> </w:t>
      </w:r>
      <w:r w:rsidR="008D5A1E" w:rsidRPr="00C424DA">
        <w:rPr>
          <w:rFonts w:ascii="Times New Roman" w:hAnsi="Times New Roman" w:cs="Times New Roman"/>
          <w:sz w:val="20"/>
          <w:szCs w:val="20"/>
          <w:lang w:val="pl-PL"/>
        </w:rPr>
        <w:t>(</w:t>
      </w:r>
      <w:r w:rsidRPr="00C424DA">
        <w:rPr>
          <w:rFonts w:ascii="Times New Roman" w:hAnsi="Times New Roman" w:cs="Times New Roman"/>
          <w:sz w:val="20"/>
          <w:szCs w:val="20"/>
          <w:lang w:val="pl-PL"/>
        </w:rPr>
        <w:t>Krystyna Skalicka-Woźniak</w:t>
      </w:r>
      <w:r w:rsidR="008D5A1E" w:rsidRPr="00C424DA">
        <w:rPr>
          <w:rFonts w:ascii="Times New Roman" w:hAnsi="Times New Roman" w:cs="Times New Roman"/>
          <w:sz w:val="20"/>
          <w:szCs w:val="20"/>
          <w:lang w:val="pl-PL"/>
        </w:rPr>
        <w:t>).</w:t>
      </w:r>
    </w:p>
    <w:sectPr w:rsidR="008D5A1E" w:rsidRPr="00C424DA" w:rsidSect="00D5358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7F22"/>
    <w:multiLevelType w:val="hybridMultilevel"/>
    <w:tmpl w:val="06C64FA2"/>
    <w:lvl w:ilvl="0" w:tplc="C87A9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C5B47"/>
    <w:multiLevelType w:val="multilevel"/>
    <w:tmpl w:val="F29E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717154">
    <w:abstractNumId w:val="0"/>
  </w:num>
  <w:num w:numId="2" w16cid:durableId="136879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44"/>
    <w:rsid w:val="00001724"/>
    <w:rsid w:val="00006A24"/>
    <w:rsid w:val="000223BE"/>
    <w:rsid w:val="0005136F"/>
    <w:rsid w:val="00062F05"/>
    <w:rsid w:val="0006403F"/>
    <w:rsid w:val="00083064"/>
    <w:rsid w:val="000A2ADB"/>
    <w:rsid w:val="000A5699"/>
    <w:rsid w:val="000C640F"/>
    <w:rsid w:val="000E25BB"/>
    <w:rsid w:val="00165F4D"/>
    <w:rsid w:val="001B63DE"/>
    <w:rsid w:val="001E78CB"/>
    <w:rsid w:val="00224A15"/>
    <w:rsid w:val="00250CFA"/>
    <w:rsid w:val="00262535"/>
    <w:rsid w:val="0027292A"/>
    <w:rsid w:val="002D07D8"/>
    <w:rsid w:val="002D4FFC"/>
    <w:rsid w:val="00301E27"/>
    <w:rsid w:val="00320495"/>
    <w:rsid w:val="00341C40"/>
    <w:rsid w:val="0035525E"/>
    <w:rsid w:val="003726CD"/>
    <w:rsid w:val="003A0E85"/>
    <w:rsid w:val="003B1270"/>
    <w:rsid w:val="003C315B"/>
    <w:rsid w:val="003D4A97"/>
    <w:rsid w:val="00431F06"/>
    <w:rsid w:val="00476774"/>
    <w:rsid w:val="004868EC"/>
    <w:rsid w:val="004B13A4"/>
    <w:rsid w:val="004C04E8"/>
    <w:rsid w:val="004C7FF1"/>
    <w:rsid w:val="004D5D63"/>
    <w:rsid w:val="004F6DAA"/>
    <w:rsid w:val="004F73DE"/>
    <w:rsid w:val="005264EC"/>
    <w:rsid w:val="005426EE"/>
    <w:rsid w:val="00542C06"/>
    <w:rsid w:val="005471C3"/>
    <w:rsid w:val="00586E59"/>
    <w:rsid w:val="005B0DE0"/>
    <w:rsid w:val="006211C7"/>
    <w:rsid w:val="00656948"/>
    <w:rsid w:val="00691FA4"/>
    <w:rsid w:val="006A13FB"/>
    <w:rsid w:val="006B2F07"/>
    <w:rsid w:val="006D2A16"/>
    <w:rsid w:val="008064E4"/>
    <w:rsid w:val="00822198"/>
    <w:rsid w:val="00834317"/>
    <w:rsid w:val="008470D0"/>
    <w:rsid w:val="008472FE"/>
    <w:rsid w:val="00893DEB"/>
    <w:rsid w:val="008C2752"/>
    <w:rsid w:val="008C3DC7"/>
    <w:rsid w:val="008D0886"/>
    <w:rsid w:val="008D5A1E"/>
    <w:rsid w:val="009551C3"/>
    <w:rsid w:val="0095771B"/>
    <w:rsid w:val="0097734D"/>
    <w:rsid w:val="009C0CA5"/>
    <w:rsid w:val="009C1076"/>
    <w:rsid w:val="00A045EA"/>
    <w:rsid w:val="00A12DC2"/>
    <w:rsid w:val="00A1524F"/>
    <w:rsid w:val="00A3082E"/>
    <w:rsid w:val="00A33594"/>
    <w:rsid w:val="00AA5BFB"/>
    <w:rsid w:val="00AE0506"/>
    <w:rsid w:val="00AF478C"/>
    <w:rsid w:val="00B25F44"/>
    <w:rsid w:val="00B52425"/>
    <w:rsid w:val="00B64070"/>
    <w:rsid w:val="00B657C9"/>
    <w:rsid w:val="00BA402A"/>
    <w:rsid w:val="00BB1216"/>
    <w:rsid w:val="00BE0336"/>
    <w:rsid w:val="00BE2201"/>
    <w:rsid w:val="00C10F1D"/>
    <w:rsid w:val="00C22EE6"/>
    <w:rsid w:val="00C31902"/>
    <w:rsid w:val="00C35957"/>
    <w:rsid w:val="00C36112"/>
    <w:rsid w:val="00C424DA"/>
    <w:rsid w:val="00C46637"/>
    <w:rsid w:val="00C5264A"/>
    <w:rsid w:val="00C731AC"/>
    <w:rsid w:val="00D04CB6"/>
    <w:rsid w:val="00D062B5"/>
    <w:rsid w:val="00D43DD8"/>
    <w:rsid w:val="00D53587"/>
    <w:rsid w:val="00DD5E54"/>
    <w:rsid w:val="00E8233A"/>
    <w:rsid w:val="00E8488F"/>
    <w:rsid w:val="00ED5AB3"/>
    <w:rsid w:val="00ED60A6"/>
    <w:rsid w:val="00EE5EAA"/>
    <w:rsid w:val="00F35B18"/>
    <w:rsid w:val="00F43595"/>
    <w:rsid w:val="00F57619"/>
    <w:rsid w:val="00F8330D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9E1E"/>
  <w15:docId w15:val="{DE8E7F8E-D578-4BA0-B2EA-BAC97DE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A4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2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5F44"/>
    <w:rPr>
      <w:color w:val="0000FF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062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FF1"/>
    <w:pPr>
      <w:ind w:left="720"/>
      <w:contextualSpacing/>
    </w:pPr>
  </w:style>
  <w:style w:type="character" w:customStyle="1" w:styleId="cit-volume">
    <w:name w:val="cit-volume"/>
    <w:basedOn w:val="DefaultParagraphFont"/>
    <w:rsid w:val="00A045EA"/>
  </w:style>
  <w:style w:type="character" w:customStyle="1" w:styleId="cit-issue">
    <w:name w:val="cit-issue"/>
    <w:basedOn w:val="DefaultParagraphFont"/>
    <w:rsid w:val="00A045EA"/>
  </w:style>
  <w:style w:type="character" w:customStyle="1" w:styleId="cit-pagerange">
    <w:name w:val="cit-pagerange"/>
    <w:basedOn w:val="DefaultParagraphFont"/>
    <w:rsid w:val="00A045EA"/>
  </w:style>
  <w:style w:type="paragraph" w:styleId="NormalWeb">
    <w:name w:val="Normal (Web)"/>
    <w:basedOn w:val="Normal"/>
    <w:uiPriority w:val="99"/>
    <w:semiHidden/>
    <w:unhideWhenUsed/>
    <w:rsid w:val="00A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402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nchor-text">
    <w:name w:val="anchor-text"/>
    <w:basedOn w:val="DefaultParagraphFont"/>
    <w:rsid w:val="00BA402A"/>
  </w:style>
  <w:style w:type="character" w:customStyle="1" w:styleId="react-xocs-alternative-link">
    <w:name w:val="react-xocs-alternative-link"/>
    <w:basedOn w:val="DefaultParagraphFont"/>
    <w:rsid w:val="00BA402A"/>
  </w:style>
  <w:style w:type="character" w:customStyle="1" w:styleId="given-name">
    <w:name w:val="given-name"/>
    <w:basedOn w:val="DefaultParagraphFont"/>
    <w:rsid w:val="00BA402A"/>
  </w:style>
  <w:style w:type="character" w:customStyle="1" w:styleId="text">
    <w:name w:val="text"/>
    <w:basedOn w:val="DefaultParagraphFont"/>
    <w:rsid w:val="00BA402A"/>
  </w:style>
  <w:style w:type="character" w:customStyle="1" w:styleId="author-ref">
    <w:name w:val="author-ref"/>
    <w:basedOn w:val="DefaultParagraphFont"/>
    <w:rsid w:val="00BA402A"/>
  </w:style>
  <w:style w:type="character" w:styleId="HTMLCite">
    <w:name w:val="HTML Cite"/>
    <w:basedOn w:val="DefaultParagraphFont"/>
    <w:uiPriority w:val="99"/>
    <w:semiHidden/>
    <w:unhideWhenUsed/>
    <w:rsid w:val="00FE54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017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001724"/>
  </w:style>
  <w:style w:type="character" w:styleId="Emphasis">
    <w:name w:val="Emphasis"/>
    <w:basedOn w:val="DefaultParagraphFont"/>
    <w:uiPriority w:val="20"/>
    <w:qFormat/>
    <w:rsid w:val="00001724"/>
    <w:rPr>
      <w:i/>
      <w:iCs/>
    </w:rPr>
  </w:style>
  <w:style w:type="character" w:customStyle="1" w:styleId="docsum-authors">
    <w:name w:val="docsum-authors"/>
    <w:basedOn w:val="DefaultParagraphFont"/>
    <w:rsid w:val="00A12DC2"/>
  </w:style>
  <w:style w:type="character" w:customStyle="1" w:styleId="docsum-journal-citation">
    <w:name w:val="docsum-journal-citation"/>
    <w:basedOn w:val="DefaultParagraphFont"/>
    <w:rsid w:val="00A12DC2"/>
  </w:style>
  <w:style w:type="character" w:styleId="Strong">
    <w:name w:val="Strong"/>
    <w:basedOn w:val="DefaultParagraphFont"/>
    <w:uiPriority w:val="22"/>
    <w:qFormat/>
    <w:rsid w:val="00C731A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A2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4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molecular-phylogenetics-and-evolu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kskalicka@pharmacognos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16575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molecular-phylogenetics-and-evolution/vol/66/issu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B2D9-D4C5-4513-9DDA-E41C5AC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Simon</cp:lastModifiedBy>
  <cp:revision>3</cp:revision>
  <cp:lastPrinted>2022-05-04T09:46:00Z</cp:lastPrinted>
  <dcterms:created xsi:type="dcterms:W3CDTF">2023-10-18T09:51:00Z</dcterms:created>
  <dcterms:modified xsi:type="dcterms:W3CDTF">2023-10-18T09:53:00Z</dcterms:modified>
</cp:coreProperties>
</file>